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附件2：</w:t>
      </w:r>
    </w:p>
    <w:p>
      <w:pPr>
        <w:widowControl/>
        <w:jc w:val="left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widowControl/>
        <w:jc w:val="left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福州大学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至诚学院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“青年之声”微邦平台建设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各系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评分说明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一、组织建设</w:t>
      </w:r>
    </w:p>
    <w:p>
      <w:pP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未在规定时间内完成组织架构建设的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团委，将在学期总分计算中直接扣除10分，并进行通报。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二、问答量及反馈量（50分）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（一）提问部分（30分）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基数计算方法：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总有效提问量/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各系</w:t>
      </w:r>
      <w:r>
        <w:rPr>
          <w:rFonts w:hint="eastAsia" w:ascii="仿宋_GB2312" w:hAnsi="仿宋_GB2312" w:eastAsia="仿宋_GB2312" w:cs="仿宋_GB2312"/>
          <w:sz w:val="32"/>
          <w:szCs w:val="32"/>
        </w:rPr>
        <w:t>总人数（各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每日提问总数不得少于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本系</w:t>
      </w:r>
      <w:r>
        <w:rPr>
          <w:rFonts w:hint="eastAsia" w:ascii="仿宋_GB2312" w:hAnsi="仿宋_GB2312" w:eastAsia="仿宋_GB2312" w:cs="仿宋_GB2312"/>
          <w:sz w:val="32"/>
          <w:szCs w:val="32"/>
        </w:rPr>
        <w:t>总人数的5%）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按各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排名：第一名30分，第二名28分，第三名26分，得分按排名情况依次递减，封底12分。</w:t>
      </w:r>
    </w:p>
    <w:p>
      <w:pPr>
        <w:tabs>
          <w:tab w:val="left" w:pos="459"/>
        </w:tabs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（二）回答部分（20分）</w:t>
      </w:r>
    </w:p>
    <w:p>
      <w:pPr>
        <w:tabs>
          <w:tab w:val="left" w:pos="459"/>
        </w:tabs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按各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回答数量/提问总数得出的比例进行排名，第一名20分，第二名18分，第三名16分，得分按排名情况依次递减，封底6分。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（三）反馈部分</w:t>
      </w:r>
      <w:r>
        <w:rPr>
          <w:rFonts w:hint="eastAsia" w:ascii="仿宋" w:hAnsi="仿宋" w:eastAsia="仿宋" w:cs="仿宋"/>
          <w:sz w:val="32"/>
          <w:szCs w:val="32"/>
        </w:rPr>
        <w:t xml:space="preserve">（附加分）         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依据各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</w:t>
      </w:r>
      <w:r>
        <w:rPr>
          <w:rFonts w:hint="eastAsia" w:ascii="仿宋" w:hAnsi="仿宋" w:eastAsia="仿宋" w:cs="仿宋"/>
          <w:sz w:val="32"/>
          <w:szCs w:val="32"/>
        </w:rPr>
        <w:t>反馈问题的情况（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问题具有代表性、广泛性，或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层面无法解决），进行额外加分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每个问题加0.1分，封顶5分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三、团学工作结合质量（50分）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团委、学生会依托“青年之声”平台开展活动（30分）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可计分活动应为依托平台开展的“青年之声”主题活动，每个活动计1分，封顶30分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建议活动形式如下：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1.活动宣传海报或宣传网页中出现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青年之声logo</w:t>
      </w:r>
      <w:r>
        <w:rPr>
          <w:rFonts w:hint="eastAsia" w:ascii="仿宋_GB2312" w:hAnsi="仿宋_GB2312" w:eastAsia="仿宋_GB2312" w:cs="仿宋_GB2312"/>
          <w:sz w:val="32"/>
          <w:szCs w:val="32"/>
        </w:rPr>
        <w:t>（下图）；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2.活动以“青年之声”冠名；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3.在青年之声平台进行线上宣传。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0500" cy="3160395"/>
            <wp:effectExtent l="0" t="0" r="0" b="0"/>
            <wp:docPr id="32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7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60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班级团支部依托“青年之声”平台开展团支部立项（20分）</w:t>
      </w:r>
    </w:p>
    <w:p>
      <w:pPr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班级团支部依托“青年之声”平台开展班级团支部立项活动，活动要求同上。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该活动将作为团支部立项材料评选环节的加分项。团支部立项月集中评议。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基数计算方法：符合活动要求团立项数/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团支部数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排名：第一名20分，第二名18分，第三名16分，得分按排名情况依次递减，封底6分。</w:t>
      </w:r>
    </w:p>
    <w:p>
      <w:pPr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四、注意事项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班级团支部的提问需经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组织或者下属组织的后台审核人员审核，不得直接发布。若问题未经审核直接发布，则进行相应的扣分，每个未审核问题0.1分，分值无上限。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2.出现发布的问题需符合相关法律要求、内容不得涉及政治敏感问题等。不符合要求的问题一条扣0.2分。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3.学期总分及排名将作为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系五四红旗团委评选，校、院级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五四评优，星级团支部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等工作的重要评定依据，</w:t>
      </w:r>
      <w:r>
        <w:rPr>
          <w:rFonts w:hint="eastAsia" w:ascii="仿宋_GB2312" w:hAnsi="仿宋_GB2312" w:eastAsia="仿宋_GB2312" w:cs="仿宋_GB2312"/>
          <w:sz w:val="32"/>
          <w:szCs w:val="32"/>
        </w:rPr>
        <w:t>望各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Light">
    <w:panose1 w:val="020B0304030504040204"/>
    <w:charset w:val="86"/>
    <w:family w:val="auto"/>
    <w:pitch w:val="default"/>
    <w:sig w:usb0="800002EF" w:usb1="28CFFCFB" w:usb2="00000016" w:usb3="00000000" w:csb0="203E01B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Mincho Light">
    <w:panose1 w:val="02020300000000000000"/>
    <w:charset w:val="80"/>
    <w:family w:val="auto"/>
    <w:pitch w:val="default"/>
    <w:sig w:usb0="800002E7" w:usb1="2AC7FCF0" w:usb2="00000012" w:usb3="00000000" w:csb0="2002009F" w:csb1="00000000"/>
  </w:font>
  <w:font w:name="Aharoni">
    <w:panose1 w:val="02010803020104030203"/>
    <w:charset w:val="00"/>
    <w:family w:val="auto"/>
    <w:pitch w:val="default"/>
    <w:sig w:usb0="00000803" w:usb1="00000000" w:usb2="00000000" w:usb3="00000000" w:csb0="00000021" w:csb1="002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3" w:usb1="00000000" w:usb2="00000000" w:usb3="00000000" w:csb0="00000021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Javanese Text">
    <w:panose1 w:val="02000000000000000000"/>
    <w:charset w:val="00"/>
    <w:family w:val="auto"/>
    <w:pitch w:val="default"/>
    <w:sig w:usb0="80000043" w:usb1="00002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riam">
    <w:panose1 w:val="020B0502050101010101"/>
    <w:charset w:val="00"/>
    <w:family w:val="auto"/>
    <w:pitch w:val="default"/>
    <w:sig w:usb0="00000803" w:usb1="00000000" w:usb2="00000000" w:usb3="00000000" w:csb0="00000021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00000003" w:usb1="00000000" w:usb2="00000400" w:usb3="00000000" w:csb0="00000001" w:csb1="00000000"/>
  </w:font>
  <w:font w:name="Narkisim">
    <w:panose1 w:val="020E0502050101010101"/>
    <w:charset w:val="00"/>
    <w:family w:val="auto"/>
    <w:pitch w:val="default"/>
    <w:sig w:usb0="00000803" w:usb1="00000000" w:usb2="00000000" w:usb3="00000000" w:csb0="00000021" w:csb1="002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Urdu Typesetting">
    <w:panose1 w:val="03020402040406030203"/>
    <w:charset w:val="00"/>
    <w:family w:val="auto"/>
    <w:pitch w:val="default"/>
    <w:sig w:usb0="00002003" w:usb1="80000000" w:usb2="00000008" w:usb3="00000000" w:csb0="2000004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Aldhabi">
    <w:panose1 w:val="01000000000000000000"/>
    <w:charset w:val="00"/>
    <w:family w:val="auto"/>
    <w:pitch w:val="default"/>
    <w:sig w:usb0="A000206F" w:usb1="9000804B" w:usb2="00000000" w:usb3="00000000" w:csb0="0000004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62BC4"/>
    <w:rsid w:val="0A062B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2016-10-14T07:53:00Z</dcterms:created>
  <dc:creator>ying</dc:creator>
  <cp:lastModifiedBy>ying</cp:lastModifiedBy>
  <dcterms:modified xsi:type="dcterms:W3CDTF">2016-10-14T07:54:50Z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