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附件4：</w:t>
      </w:r>
    </w:p>
    <w:p>
      <w:pPr>
        <w:widowControl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福州大学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至诚学院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“青年之声”微邦平台建设</w:t>
      </w: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部门考核说明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一、组织建设</w:t>
      </w:r>
    </w:p>
    <w:p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未在规定时间内完成组织架构建设的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院团委部门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部门推优及各项评优评先名额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并进行通报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二、问答量及反馈量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（一）提问部分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基数计算方法：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总有效提问量/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总人数（各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每日提问总数不得少于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总人数的5%）</w:t>
      </w:r>
    </w:p>
    <w:p>
      <w:pPr>
        <w:tabs>
          <w:tab w:val="left" w:pos="459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（二）回答部分</w:t>
      </w:r>
    </w:p>
    <w:p>
      <w:pPr>
        <w:tabs>
          <w:tab w:val="left" w:pos="459"/>
        </w:tabs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基数计算方法：</w:t>
      </w:r>
    </w:p>
    <w:p>
      <w:pPr>
        <w:tabs>
          <w:tab w:val="left" w:pos="459"/>
        </w:tabs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回答数量/提问总数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各部门每日回答总数不得少于部门总人数的20%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（三）反馈部分</w:t>
      </w: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反馈的问题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具有代表性、广泛性，或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层面无法解决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三、团学工作结合质量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（一）学院团委学生会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依托“青年之声”平台开展活动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活动应为依托平台开展的“青年之声”主题活动，建议活动形式如下：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1.活动宣传海报或宣传网页中出现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青年之声logo</w:t>
      </w:r>
      <w:r>
        <w:rPr>
          <w:rFonts w:hint="eastAsia" w:ascii="仿宋_GB2312" w:hAnsi="仿宋_GB2312" w:eastAsia="仿宋_GB2312" w:cs="仿宋_GB2312"/>
          <w:sz w:val="32"/>
          <w:szCs w:val="32"/>
        </w:rPr>
        <w:t>（下图）；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2.活动以“青年之声”冠名；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3.在青年之声平台进行线上宣传。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0500" cy="3160395"/>
            <wp:effectExtent l="0" t="0" r="0" b="0"/>
            <wp:docPr id="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的提问需经学院组织或者下属组织的后台审核人员审核，不得直接发布。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2.出现发布的问题需符合相关法律要求、内容不得涉及政治敏感问题等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评估结果将作为院团委各部门推优及各项评优评先名额的重要依据，望院团委各部门高度重视。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Mincho Light"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3" w:usb1="00000000" w:usb2="00000000" w:usb3="00000000" w:csb0="00000021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Javanese Text">
    <w:panose1 w:val="02000000000000000000"/>
    <w:charset w:val="00"/>
    <w:family w:val="auto"/>
    <w:pitch w:val="default"/>
    <w:sig w:usb0="80000043" w:usb1="00002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riam">
    <w:panose1 w:val="020B0502050101010101"/>
    <w:charset w:val="00"/>
    <w:family w:val="auto"/>
    <w:pitch w:val="default"/>
    <w:sig w:usb0="00000803" w:usb1="00000000" w:usb2="00000000" w:usb3="00000000" w:csb0="00000021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00000003" w:usb1="00000000" w:usb2="00000400" w:usb3="00000000" w:csb0="00000001" w:csb1="00000000"/>
  </w:font>
  <w:font w:name="Narkisim">
    <w:panose1 w:val="020E0502050101010101"/>
    <w:charset w:val="00"/>
    <w:family w:val="auto"/>
    <w:pitch w:val="default"/>
    <w:sig w:usb0="00000803" w:usb1="00000000" w:usb2="00000000" w:usb3="00000000" w:csb0="00000021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Urdu Typesetting">
    <w:panose1 w:val="03020402040406030203"/>
    <w:charset w:val="00"/>
    <w:family w:val="auto"/>
    <w:pitch w:val="default"/>
    <w:sig w:usb0="00002003" w:usb1="80000000" w:usb2="00000008" w:usb3="00000000" w:csb0="2000004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Aldhabi">
    <w:panose1 w:val="01000000000000000000"/>
    <w:charset w:val="00"/>
    <w:family w:val="auto"/>
    <w:pitch w:val="default"/>
    <w:sig w:usb0="A000206F" w:usb1="9000804B" w:usb2="00000000" w:usb3="00000000" w:csb0="0000004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47BA1"/>
    <w:rsid w:val="21F47B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2016-10-14T07:56:00Z</dcterms:created>
  <dc:creator>ying</dc:creator>
  <cp:lastModifiedBy>ying</cp:lastModifiedBy>
  <dcterms:modified xsi:type="dcterms:W3CDTF">2016-10-14T07:56:49Z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